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Parvekelattiapinnoitusmenetelmä</w:t>
      </w:r>
    </w:p>
    <w:p w:rsidR="00D90EB9" w:rsidRPr="006A3DF1" w:rsidRDefault="006F1080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F54E52B">
            <wp:simplePos x="0" y="0"/>
            <wp:positionH relativeFrom="column">
              <wp:posOffset>3771900</wp:posOffset>
            </wp:positionH>
            <wp:positionV relativeFrom="paragraph">
              <wp:posOffset>186055</wp:posOffset>
            </wp:positionV>
            <wp:extent cx="2265680" cy="2362200"/>
            <wp:effectExtent l="0" t="0" r="127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68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StoP</w:t>
      </w:r>
      <w:r>
        <w:rPr>
          <w:b/>
          <w:sz w:val="32"/>
          <w:szCs w:val="32"/>
          <w:lang w:val="fi-FI"/>
        </w:rPr>
        <w:t>ox WL 100</w:t>
      </w:r>
    </w:p>
    <w:p w:rsidR="00D90EB9" w:rsidRPr="006A3DF1" w:rsidRDefault="00D90EB9">
      <w:pPr>
        <w:rPr>
          <w:b/>
          <w:sz w:val="22"/>
          <w:lang w:val="fi-FI"/>
        </w:rPr>
      </w:pPr>
    </w:p>
    <w:p w:rsidR="00D90EB9" w:rsidRPr="006F1080" w:rsidRDefault="00D90EB9">
      <w:pPr>
        <w:rPr>
          <w:b/>
          <w:sz w:val="22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 xml:space="preserve">2. </w:t>
      </w:r>
      <w:r w:rsidR="006F1080">
        <w:rPr>
          <w:b/>
          <w:sz w:val="22"/>
          <w:lang w:val="fi-FI"/>
        </w:rPr>
        <w:t>P</w:t>
      </w:r>
      <w:r w:rsidRPr="00D90EB9">
        <w:rPr>
          <w:b/>
          <w:sz w:val="22"/>
          <w:lang w:val="fi-FI"/>
        </w:rPr>
        <w:t>ohjustus e</w:t>
      </w:r>
      <w:r>
        <w:rPr>
          <w:b/>
          <w:sz w:val="22"/>
          <w:lang w:val="fi-FI"/>
        </w:rPr>
        <w:t>poksiprimer</w:t>
      </w:r>
      <w:r w:rsidR="00596C9C">
        <w:rPr>
          <w:b/>
          <w:sz w:val="22"/>
          <w:lang w:val="fi-FI"/>
        </w:rPr>
        <w:t xml:space="preserve"> StoPox WG 100</w:t>
      </w:r>
    </w:p>
    <w:p w:rsidR="00D90EB9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 xml:space="preserve">3. </w:t>
      </w:r>
      <w:r w:rsidR="006F1080">
        <w:rPr>
          <w:b/>
          <w:sz w:val="22"/>
          <w:lang w:val="fi-FI"/>
        </w:rPr>
        <w:t>Epoksipinnoitus</w:t>
      </w:r>
      <w:r w:rsidR="00596C9C">
        <w:rPr>
          <w:b/>
          <w:sz w:val="22"/>
          <w:lang w:val="fi-FI"/>
        </w:rPr>
        <w:t xml:space="preserve"> StoPox WL 100</w:t>
      </w:r>
    </w:p>
    <w:p w:rsidR="00D90EB9" w:rsidRDefault="00D90EB9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4. E</w:t>
      </w:r>
      <w:r w:rsidR="006F1080">
        <w:rPr>
          <w:b/>
          <w:sz w:val="22"/>
          <w:lang w:val="fi-FI"/>
        </w:rPr>
        <w:t>poksi</w:t>
      </w:r>
      <w:r>
        <w:rPr>
          <w:b/>
          <w:sz w:val="22"/>
          <w:lang w:val="fi-FI"/>
        </w:rPr>
        <w:t>pinnoitus</w:t>
      </w:r>
      <w:r w:rsidR="00596C9C">
        <w:rPr>
          <w:b/>
          <w:sz w:val="22"/>
          <w:lang w:val="fi-FI"/>
        </w:rPr>
        <w:t xml:space="preserve"> StoPox WL 100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D90EB9" w:rsidRDefault="00D90EB9" w:rsidP="00D90EB9">
      <w:pPr>
        <w:widowControl w:val="0"/>
        <w:ind w:left="708"/>
        <w:rPr>
          <w:rFonts w:cs="Arial"/>
          <w:bCs/>
          <w:iCs/>
          <w:sz w:val="22"/>
          <w:lang w:val="fi-FI"/>
        </w:rPr>
      </w:pPr>
      <w:r w:rsidRPr="00D90EB9">
        <w:rPr>
          <w:rFonts w:cs="Arial"/>
          <w:bCs/>
          <w:iCs/>
          <w:sz w:val="22"/>
          <w:lang w:val="fi-FI"/>
        </w:rPr>
        <w:t xml:space="preserve">Vanha pinnoite poistetaan </w:t>
      </w:r>
      <w:r w:rsidR="00E7583B">
        <w:rPr>
          <w:rFonts w:cs="Arial"/>
          <w:bCs/>
          <w:iCs/>
          <w:sz w:val="22"/>
          <w:lang w:val="fi-FI"/>
        </w:rPr>
        <w:t xml:space="preserve">esim. </w:t>
      </w:r>
      <w:r w:rsidRPr="00D90EB9">
        <w:rPr>
          <w:rFonts w:cs="Arial"/>
          <w:bCs/>
          <w:iCs/>
          <w:sz w:val="22"/>
          <w:lang w:val="fi-FI"/>
        </w:rPr>
        <w:t>hiomalla timanttilaikkakoneella kovaan puhtaaseen betonipintaan saakka.</w:t>
      </w:r>
      <w:r w:rsidR="00E7583B">
        <w:rPr>
          <w:rFonts w:cs="Arial"/>
          <w:bCs/>
          <w:iCs/>
          <w:sz w:val="22"/>
          <w:lang w:val="fi-FI"/>
        </w:rPr>
        <w:t xml:space="preserve"> </w:t>
      </w:r>
      <w:r w:rsidRPr="00D90EB9">
        <w:rPr>
          <w:rFonts w:cs="Arial"/>
          <w:bCs/>
          <w:iCs/>
          <w:sz w:val="22"/>
          <w:lang w:val="fi-FI"/>
        </w:rPr>
        <w:t>Alusta imuroidaan huolellisesti pölystä yms. ennen seuraavaa työvaihetta.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D90EB9" w:rsidRPr="006A3DF1" w:rsidRDefault="00D90EB9" w:rsidP="00D2554B">
      <w:pPr>
        <w:widowControl w:val="0"/>
        <w:tabs>
          <w:tab w:val="left" w:pos="360"/>
        </w:tabs>
        <w:rPr>
          <w:sz w:val="18"/>
          <w:szCs w:val="18"/>
          <w:lang w:val="fi-FI"/>
        </w:rPr>
      </w:pPr>
      <w:r>
        <w:rPr>
          <w:rFonts w:cs="Arial"/>
          <w:bCs/>
          <w:iCs/>
          <w:sz w:val="22"/>
          <w:lang w:val="fi-FI"/>
        </w:rPr>
        <w:tab/>
        <w:t xml:space="preserve">      </w:t>
      </w:r>
      <w:r w:rsidRPr="00D90EB9">
        <w:rPr>
          <w:rFonts w:cs="Arial"/>
          <w:bCs/>
          <w:iCs/>
          <w:sz w:val="22"/>
          <w:lang w:val="fi-FI"/>
        </w:rPr>
        <w:t>Mahdolliset betonivauriot kuten lohkeamat yms. korjataan StoCrete-laasteilla.</w:t>
      </w: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Vedenohjaus ja kaatokorjaukset (tarvittaessa)</w:t>
      </w:r>
    </w:p>
    <w:p w:rsidR="00D90EB9" w:rsidRPr="006A3DF1" w:rsidRDefault="00D90EB9" w:rsidP="00D2554B">
      <w:pPr>
        <w:widowControl w:val="0"/>
        <w:ind w:left="708"/>
        <w:rPr>
          <w:b/>
          <w:sz w:val="18"/>
          <w:szCs w:val="18"/>
          <w:lang w:val="fi-FI"/>
        </w:rPr>
      </w:pPr>
      <w:r w:rsidRPr="00D90EB9">
        <w:rPr>
          <w:rFonts w:cs="Arial"/>
          <w:bCs/>
          <w:iCs/>
          <w:sz w:val="22"/>
          <w:lang w:val="fi-FI"/>
        </w:rPr>
        <w:t>Lattioiden kaa</w:t>
      </w:r>
      <w:r>
        <w:rPr>
          <w:rFonts w:cs="Arial"/>
          <w:bCs/>
          <w:iCs/>
          <w:sz w:val="22"/>
          <w:lang w:val="fi-FI"/>
        </w:rPr>
        <w:t>dot</w:t>
      </w:r>
      <w:r w:rsidRPr="00D90EB9">
        <w:rPr>
          <w:rFonts w:cs="Arial"/>
          <w:bCs/>
          <w:iCs/>
          <w:sz w:val="22"/>
          <w:lang w:val="fi-FI"/>
        </w:rPr>
        <w:t xml:space="preserve"> tarkistetaan ja tehdään tarvittavat kaatojen korjaukset StoCrete GM1 (3…25 mm paksuus) laastilla tai StoCrete R40</w:t>
      </w:r>
      <w:r>
        <w:rPr>
          <w:rFonts w:cs="Arial"/>
          <w:bCs/>
          <w:iCs/>
          <w:sz w:val="22"/>
          <w:lang w:val="fi-FI"/>
        </w:rPr>
        <w:t xml:space="preserve"> laastilla</w:t>
      </w:r>
      <w:r w:rsidRPr="00D90EB9">
        <w:rPr>
          <w:rFonts w:cs="Arial"/>
          <w:bCs/>
          <w:iCs/>
          <w:sz w:val="22"/>
          <w:lang w:val="fi-FI"/>
        </w:rPr>
        <w:t xml:space="preserve"> (10…50 mm paksuus). Korjattava alusta esikostutetaan ja pintaan sivellään StoCrete TH</w:t>
      </w:r>
      <w:r>
        <w:rPr>
          <w:rFonts w:cs="Arial"/>
          <w:bCs/>
          <w:iCs/>
          <w:sz w:val="22"/>
          <w:lang w:val="fi-FI"/>
        </w:rPr>
        <w:t>p</w:t>
      </w:r>
      <w:r w:rsidRPr="00D90EB9">
        <w:rPr>
          <w:rFonts w:cs="Arial"/>
          <w:bCs/>
          <w:iCs/>
          <w:sz w:val="22"/>
          <w:lang w:val="fi-FI"/>
        </w:rPr>
        <w:t xml:space="preserve">- tartuntalaasti. 1,0 mm paksuuteen. Tartuntalaastin vielä ollessa kosteaa tehdään kaadot StoCrete GM1- tai StoCrete R40 laasteilla. Laastipintaa jälkihoidetaan n. </w:t>
      </w:r>
      <w:r>
        <w:rPr>
          <w:rFonts w:cs="Arial"/>
          <w:bCs/>
          <w:iCs/>
          <w:sz w:val="22"/>
          <w:lang w:val="fi-FI"/>
        </w:rPr>
        <w:t>3</w:t>
      </w:r>
      <w:r w:rsidRPr="00D90EB9">
        <w:rPr>
          <w:rFonts w:cs="Arial"/>
          <w:bCs/>
          <w:iCs/>
          <w:sz w:val="22"/>
          <w:lang w:val="fi-FI"/>
        </w:rPr>
        <w:t xml:space="preserve"> vrk. esimerkiksi vesikostutuksella ja muoveilla.</w:t>
      </w: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Ylitasoitus (tarvittaessa)</w:t>
      </w:r>
    </w:p>
    <w:p w:rsidR="00716F7B" w:rsidRP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>Pienemmät kolot ja rapautumat korjataan ja lattia tasoitetaan 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- laastilla. </w:t>
      </w:r>
      <w:r>
        <w:rPr>
          <w:rFonts w:cs="Arial"/>
          <w:bCs/>
          <w:iCs/>
          <w:sz w:val="22"/>
          <w:lang w:val="fi-FI"/>
        </w:rPr>
        <w:t xml:space="preserve">  </w:t>
      </w:r>
      <w:r w:rsidRPr="00716F7B">
        <w:rPr>
          <w:rFonts w:cs="Arial"/>
          <w:bCs/>
          <w:iCs/>
          <w:sz w:val="22"/>
          <w:lang w:val="fi-FI"/>
        </w:rPr>
        <w:t>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 levitetään 1,5 - 5 mm kerroksin. 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 vaatii </w:t>
      </w:r>
      <w:r>
        <w:rPr>
          <w:rFonts w:cs="Arial"/>
          <w:bCs/>
          <w:iCs/>
          <w:sz w:val="22"/>
          <w:lang w:val="fi-FI"/>
        </w:rPr>
        <w:t xml:space="preserve">alustan </w:t>
      </w:r>
      <w:r w:rsidRPr="00716F7B">
        <w:rPr>
          <w:rFonts w:cs="Arial"/>
          <w:bCs/>
          <w:iCs/>
          <w:sz w:val="22"/>
          <w:lang w:val="fi-FI"/>
        </w:rPr>
        <w:t xml:space="preserve">esikostutuksen vedellä. Laastipintaa jälkihoidetaan n. </w:t>
      </w:r>
      <w:r>
        <w:rPr>
          <w:rFonts w:cs="Arial"/>
          <w:bCs/>
          <w:iCs/>
          <w:sz w:val="22"/>
          <w:lang w:val="fi-FI"/>
        </w:rPr>
        <w:t>3</w:t>
      </w:r>
      <w:r w:rsidRPr="00716F7B">
        <w:rPr>
          <w:rFonts w:cs="Arial"/>
          <w:bCs/>
          <w:iCs/>
          <w:sz w:val="22"/>
          <w:lang w:val="fi-FI"/>
        </w:rPr>
        <w:t xml:space="preserve"> vrk. esimerkiksi vesikostutuksella ja muoveilla.</w:t>
      </w:r>
    </w:p>
    <w:p w:rsidR="00716F7B" w:rsidRPr="00716F7B" w:rsidRDefault="00716F7B" w:rsidP="00716F7B">
      <w:pPr>
        <w:widowControl w:val="0"/>
        <w:tabs>
          <w:tab w:val="left" w:pos="360"/>
        </w:tabs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ab/>
      </w:r>
      <w:r>
        <w:rPr>
          <w:rFonts w:cs="Arial"/>
          <w:bCs/>
          <w:iCs/>
          <w:sz w:val="22"/>
          <w:lang w:val="fi-FI"/>
        </w:rPr>
        <w:tab/>
      </w:r>
      <w:r w:rsidRPr="00716F7B">
        <w:rPr>
          <w:rFonts w:cs="Arial"/>
          <w:bCs/>
          <w:iCs/>
          <w:sz w:val="22"/>
          <w:lang w:val="fi-FI"/>
        </w:rPr>
        <w:t>Vaihtoehto 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- </w:t>
      </w:r>
      <w:r>
        <w:rPr>
          <w:rFonts w:cs="Arial"/>
          <w:bCs/>
          <w:iCs/>
          <w:sz w:val="22"/>
          <w:lang w:val="fi-FI"/>
        </w:rPr>
        <w:t>tasoitus</w:t>
      </w:r>
      <w:r w:rsidRPr="00716F7B">
        <w:rPr>
          <w:rFonts w:cs="Arial"/>
          <w:bCs/>
          <w:iCs/>
          <w:sz w:val="22"/>
          <w:lang w:val="fi-FI"/>
        </w:rPr>
        <w:t>laastille:</w:t>
      </w:r>
    </w:p>
    <w:p w:rsidR="00716F7B" w:rsidRPr="00716F7B" w:rsidRDefault="00716F7B" w:rsidP="00D2554B">
      <w:pPr>
        <w:widowControl w:val="0"/>
        <w:tabs>
          <w:tab w:val="left" w:pos="360"/>
        </w:tabs>
        <w:ind w:left="708"/>
        <w:rPr>
          <w:sz w:val="24"/>
          <w:szCs w:val="24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Lattia ylitasoitetaan StoPox  </w:t>
      </w:r>
      <w:r w:rsidR="00E7583B">
        <w:rPr>
          <w:rFonts w:cs="Arial"/>
          <w:bCs/>
          <w:iCs/>
          <w:sz w:val="22"/>
          <w:lang w:val="fi-FI"/>
        </w:rPr>
        <w:t>WG 100</w:t>
      </w:r>
      <w:r w:rsidRPr="00716F7B">
        <w:rPr>
          <w:rFonts w:cs="Arial"/>
          <w:bCs/>
          <w:iCs/>
          <w:sz w:val="22"/>
          <w:lang w:val="fi-FI"/>
        </w:rPr>
        <w:t xml:space="preserve"> ja </w:t>
      </w:r>
      <w:r w:rsidR="00E7583B">
        <w:rPr>
          <w:rFonts w:cs="Arial"/>
          <w:bCs/>
          <w:iCs/>
          <w:sz w:val="22"/>
          <w:lang w:val="fi-FI"/>
        </w:rPr>
        <w:t>kvartsi</w:t>
      </w:r>
      <w:r w:rsidRPr="00716F7B">
        <w:rPr>
          <w:rFonts w:cs="Arial"/>
          <w:bCs/>
          <w:iCs/>
          <w:sz w:val="22"/>
          <w:lang w:val="fi-FI"/>
        </w:rPr>
        <w:t xml:space="preserve">hiekan </w:t>
      </w:r>
      <w:r w:rsidR="005771D8">
        <w:rPr>
          <w:rFonts w:cs="Arial"/>
          <w:bCs/>
          <w:iCs/>
          <w:sz w:val="22"/>
          <w:lang w:val="fi-FI"/>
        </w:rPr>
        <w:t xml:space="preserve">0,05 – 0,2 mm </w:t>
      </w:r>
      <w:r w:rsidRPr="00716F7B">
        <w:rPr>
          <w:rFonts w:cs="Arial"/>
          <w:bCs/>
          <w:iCs/>
          <w:sz w:val="22"/>
          <w:lang w:val="fi-FI"/>
        </w:rPr>
        <w:t>seoksella</w:t>
      </w:r>
      <w:r w:rsidR="005771D8">
        <w:rPr>
          <w:rFonts w:cs="Arial"/>
          <w:bCs/>
          <w:iCs/>
          <w:sz w:val="22"/>
          <w:lang w:val="fi-FI"/>
        </w:rPr>
        <w:t xml:space="preserve"> </w:t>
      </w:r>
    </w:p>
    <w:p w:rsidR="005771D8" w:rsidRDefault="00D90EB9" w:rsidP="005771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Pohjustus</w:t>
      </w:r>
    </w:p>
    <w:p w:rsidR="005771D8" w:rsidRDefault="005771D8" w:rsidP="005771D8">
      <w:pPr>
        <w:rPr>
          <w:rFonts w:cs="Arial"/>
          <w:bCs/>
          <w:iCs/>
          <w:sz w:val="22"/>
          <w:lang w:val="fi-FI"/>
        </w:rPr>
      </w:pPr>
      <w:r>
        <w:rPr>
          <w:b/>
          <w:sz w:val="24"/>
          <w:szCs w:val="24"/>
          <w:lang w:val="fi-FI"/>
        </w:rPr>
        <w:t xml:space="preserve">           </w:t>
      </w:r>
      <w:r w:rsidRPr="005771D8">
        <w:rPr>
          <w:rFonts w:cs="Arial"/>
          <w:bCs/>
          <w:iCs/>
          <w:sz w:val="22"/>
          <w:lang w:val="fi-FI"/>
        </w:rPr>
        <w:t xml:space="preserve">Pohjustus tehdään sementtiliimasta tai muusta tartuntaa haittaavasta aineesta </w:t>
      </w:r>
      <w:r>
        <w:rPr>
          <w:rFonts w:cs="Arial"/>
          <w:bCs/>
          <w:iCs/>
          <w:sz w:val="22"/>
          <w:lang w:val="fi-FI"/>
        </w:rPr>
        <w:t xml:space="preserve">       </w:t>
      </w:r>
      <w:r>
        <w:rPr>
          <w:rFonts w:cs="Arial"/>
          <w:bCs/>
          <w:iCs/>
          <w:sz w:val="22"/>
          <w:lang w:val="fi-FI"/>
        </w:rPr>
        <w:tab/>
      </w:r>
      <w:r w:rsidRPr="005771D8">
        <w:rPr>
          <w:rFonts w:cs="Arial"/>
          <w:bCs/>
          <w:iCs/>
          <w:sz w:val="22"/>
          <w:lang w:val="fi-FI"/>
        </w:rPr>
        <w:t>puhdistetulle kuivalle betonipinnalle.</w:t>
      </w:r>
    </w:p>
    <w:p w:rsidR="005771D8" w:rsidRDefault="005771D8" w:rsidP="005771D8">
      <w:pPr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 xml:space="preserve">            </w:t>
      </w:r>
      <w:r w:rsidRPr="005771D8">
        <w:rPr>
          <w:rFonts w:cs="Arial"/>
          <w:bCs/>
          <w:iCs/>
          <w:sz w:val="22"/>
          <w:lang w:val="fi-FI"/>
        </w:rPr>
        <w:t xml:space="preserve">Pohjustus tehdään vesiohenteisella vesihöyryä hyvin läpäisevällä epoksipohjusteella </w:t>
      </w:r>
      <w:r>
        <w:rPr>
          <w:rFonts w:cs="Arial"/>
          <w:bCs/>
          <w:iCs/>
          <w:sz w:val="22"/>
          <w:lang w:val="fi-FI"/>
        </w:rPr>
        <w:t xml:space="preserve"> </w:t>
      </w:r>
      <w:r>
        <w:rPr>
          <w:rFonts w:cs="Arial"/>
          <w:bCs/>
          <w:iCs/>
          <w:sz w:val="22"/>
          <w:lang w:val="fi-FI"/>
        </w:rPr>
        <w:tab/>
      </w:r>
      <w:r w:rsidRPr="005771D8">
        <w:rPr>
          <w:rFonts w:cs="Arial"/>
          <w:bCs/>
          <w:iCs/>
          <w:sz w:val="22"/>
          <w:lang w:val="fi-FI"/>
        </w:rPr>
        <w:t>StoPox WG 100</w:t>
      </w:r>
      <w:r>
        <w:rPr>
          <w:rFonts w:cs="Arial"/>
          <w:bCs/>
          <w:iCs/>
          <w:sz w:val="22"/>
          <w:lang w:val="fi-FI"/>
        </w:rPr>
        <w:t xml:space="preserve">. </w:t>
      </w:r>
      <w:r w:rsidRPr="005771D8">
        <w:rPr>
          <w:rFonts w:cs="Arial"/>
          <w:bCs/>
          <w:iCs/>
          <w:sz w:val="22"/>
          <w:lang w:val="fi-FI"/>
        </w:rPr>
        <w:t>Työvälineenä voidaan käyttää telaa, mohairlastaa tai sivellintä.</w:t>
      </w:r>
      <w:r>
        <w:rPr>
          <w:rFonts w:cs="Arial"/>
          <w:bCs/>
          <w:iCs/>
          <w:sz w:val="22"/>
          <w:lang w:val="fi-FI"/>
        </w:rPr>
        <w:t xml:space="preserve"> </w:t>
      </w:r>
    </w:p>
    <w:p w:rsidR="005771D8" w:rsidRDefault="005771D8" w:rsidP="005771D8">
      <w:pPr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 xml:space="preserve">            </w:t>
      </w:r>
    </w:p>
    <w:p w:rsidR="00716F7B" w:rsidRPr="0046421A" w:rsidRDefault="005771D8" w:rsidP="00EB782F">
      <w:pPr>
        <w:ind w:left="709"/>
        <w:jc w:val="both"/>
        <w:rPr>
          <w:rFonts w:cs="Arial"/>
          <w:bCs/>
          <w:iCs/>
          <w:sz w:val="22"/>
          <w:lang w:val="fi-FI"/>
        </w:rPr>
      </w:pPr>
      <w:r w:rsidRPr="0046421A">
        <w:rPr>
          <w:rFonts w:cs="Arial"/>
          <w:bCs/>
          <w:iCs/>
          <w:sz w:val="22"/>
          <w:lang w:val="fi-FI"/>
        </w:rPr>
        <w:lastRenderedPageBreak/>
        <w:t>H</w:t>
      </w:r>
      <w:r w:rsidR="00716F7B" w:rsidRPr="0046421A">
        <w:rPr>
          <w:rFonts w:cs="Arial"/>
          <w:bCs/>
          <w:iCs/>
          <w:sz w:val="22"/>
          <w:lang w:val="fi-FI"/>
        </w:rPr>
        <w:t>UOM! Hyvin pienet epätasaisuudet voidaan tasata ”luilleen” primerin ja hienon</w:t>
      </w:r>
      <w:r w:rsidRPr="0046421A">
        <w:rPr>
          <w:rFonts w:cs="Arial"/>
          <w:bCs/>
          <w:iCs/>
          <w:sz w:val="22"/>
          <w:lang w:val="fi-FI"/>
        </w:rPr>
        <w:t xml:space="preserve">           </w:t>
      </w:r>
      <w:r w:rsidR="0030366B" w:rsidRPr="0046421A">
        <w:rPr>
          <w:rFonts w:cs="Arial"/>
          <w:bCs/>
          <w:iCs/>
          <w:sz w:val="22"/>
          <w:lang w:val="fi-FI"/>
        </w:rPr>
        <w:t>kvartsi</w:t>
      </w:r>
      <w:r w:rsidR="00716F7B" w:rsidRPr="0046421A">
        <w:rPr>
          <w:rFonts w:cs="Arial"/>
          <w:bCs/>
          <w:iCs/>
          <w:sz w:val="22"/>
          <w:lang w:val="fi-FI"/>
        </w:rPr>
        <w:t>hiekan seoksella (1:1).Tällöin ei tarvita erillistä ylitasoitusta laastilla eikä</w:t>
      </w:r>
      <w:r w:rsidRPr="0046421A">
        <w:rPr>
          <w:rFonts w:cs="Arial"/>
          <w:bCs/>
          <w:iCs/>
          <w:sz w:val="22"/>
          <w:lang w:val="fi-FI"/>
        </w:rPr>
        <w:t xml:space="preserve"> </w:t>
      </w:r>
      <w:r w:rsidR="00716F7B" w:rsidRPr="0046421A">
        <w:rPr>
          <w:rFonts w:cs="Arial"/>
          <w:bCs/>
          <w:iCs/>
          <w:sz w:val="22"/>
          <w:lang w:val="fi-FI"/>
        </w:rPr>
        <w:t>toista</w:t>
      </w:r>
      <w:r w:rsidRPr="0046421A">
        <w:rPr>
          <w:rFonts w:cs="Arial"/>
          <w:bCs/>
          <w:iCs/>
          <w:sz w:val="22"/>
          <w:lang w:val="fi-FI"/>
        </w:rPr>
        <w:t xml:space="preserve"> </w:t>
      </w:r>
      <w:r w:rsidR="00716F7B" w:rsidRPr="0046421A">
        <w:rPr>
          <w:rFonts w:cs="Arial"/>
          <w:bCs/>
          <w:iCs/>
          <w:sz w:val="22"/>
          <w:lang w:val="fi-FI"/>
        </w:rPr>
        <w:t>primerikäsittelyä.</w:t>
      </w:r>
    </w:p>
    <w:p w:rsidR="005771D8" w:rsidRDefault="00D90EB9" w:rsidP="005771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Pinnoitus</w:t>
      </w:r>
    </w:p>
    <w:p w:rsidR="005771D8" w:rsidRPr="0046421A" w:rsidRDefault="005771D8" w:rsidP="00EB782F">
      <w:pPr>
        <w:ind w:left="709"/>
        <w:jc w:val="both"/>
        <w:rPr>
          <w:b/>
          <w:sz w:val="24"/>
          <w:szCs w:val="24"/>
          <w:lang w:val="fi-FI"/>
        </w:rPr>
      </w:pPr>
      <w:r w:rsidRPr="0046421A">
        <w:rPr>
          <w:rFonts w:cs="Arial"/>
          <w:bCs/>
          <w:iCs/>
          <w:sz w:val="22"/>
          <w:lang w:val="fi-FI"/>
        </w:rPr>
        <w:t>StoPox WL 100- pinnoite levitetään tasaisesti parvekkeen lattiapinnalle sekä jalkalistan päälle siten, että pinnasta tulee yhtenäinen. Pinnoitus tehdään 2:na käsittelykertana.</w:t>
      </w:r>
    </w:p>
    <w:p w:rsidR="005771D8" w:rsidRPr="0046421A" w:rsidRDefault="005771D8" w:rsidP="00EB782F">
      <w:pPr>
        <w:widowControl w:val="0"/>
        <w:tabs>
          <w:tab w:val="left" w:pos="360"/>
        </w:tabs>
        <w:ind w:left="709"/>
        <w:jc w:val="both"/>
        <w:rPr>
          <w:rFonts w:cs="Arial"/>
          <w:bCs/>
          <w:iCs/>
          <w:sz w:val="22"/>
          <w:lang w:val="fi-FI"/>
        </w:rPr>
      </w:pPr>
      <w:r w:rsidRPr="0046421A">
        <w:rPr>
          <w:rFonts w:cs="Arial"/>
          <w:bCs/>
          <w:iCs/>
          <w:sz w:val="22"/>
          <w:lang w:val="fi-FI"/>
        </w:rPr>
        <w:t>StoPox WL 100 pinnoitetta ohennetaan sekoittamalla siihen 10 paino-% vettä.</w:t>
      </w:r>
    </w:p>
    <w:p w:rsidR="005771D8" w:rsidRPr="0046421A" w:rsidRDefault="005771D8" w:rsidP="00EB782F">
      <w:pPr>
        <w:widowControl w:val="0"/>
        <w:tabs>
          <w:tab w:val="left" w:pos="360"/>
        </w:tabs>
        <w:ind w:left="709"/>
        <w:jc w:val="both"/>
        <w:rPr>
          <w:rFonts w:cs="Arial"/>
          <w:bCs/>
          <w:iCs/>
          <w:sz w:val="22"/>
          <w:lang w:val="fi-FI"/>
        </w:rPr>
      </w:pPr>
      <w:r w:rsidRPr="0046421A">
        <w:rPr>
          <w:rFonts w:cs="Arial"/>
          <w:bCs/>
          <w:iCs/>
          <w:sz w:val="22"/>
          <w:lang w:val="fi-FI"/>
        </w:rPr>
        <w:t>Työvälineenä käytetään telaa.</w:t>
      </w:r>
    </w:p>
    <w:p w:rsidR="00716F7B" w:rsidRPr="0046421A" w:rsidRDefault="00716F7B" w:rsidP="00EB782F">
      <w:pPr>
        <w:widowControl w:val="0"/>
        <w:tabs>
          <w:tab w:val="left" w:pos="360"/>
        </w:tabs>
        <w:ind w:left="709"/>
        <w:jc w:val="both"/>
        <w:rPr>
          <w:b/>
          <w:sz w:val="18"/>
          <w:szCs w:val="18"/>
          <w:lang w:val="fi-FI"/>
        </w:rPr>
      </w:pPr>
      <w:r w:rsidRPr="0046421A">
        <w:rPr>
          <w:rFonts w:cs="Arial"/>
          <w:bCs/>
          <w:iCs/>
          <w:sz w:val="22"/>
          <w:lang w:val="fi-FI"/>
        </w:rPr>
        <w:t>Pinnan somistamiseksi, tuoreelle pinnoitepinnalle voidaan sirotella StoChips värihiutaleita. Ne eivät kuitenkaan toimi</w:t>
      </w:r>
      <w:r w:rsidR="006A3038" w:rsidRPr="0046421A">
        <w:rPr>
          <w:rFonts w:cs="Arial"/>
          <w:bCs/>
          <w:iCs/>
          <w:sz w:val="22"/>
          <w:lang w:val="fi-FI"/>
        </w:rPr>
        <w:t xml:space="preserve"> riittävän hyvin luistonestokarhennuksena.</w:t>
      </w: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Karhennus</w:t>
      </w:r>
      <w:r w:rsidR="006A3038">
        <w:rPr>
          <w:b/>
          <w:sz w:val="24"/>
          <w:szCs w:val="24"/>
          <w:lang w:val="fi-FI"/>
        </w:rPr>
        <w:t xml:space="preserve"> (tarvittaessa)</w:t>
      </w:r>
    </w:p>
    <w:p w:rsidR="005771D8" w:rsidRPr="005771D8" w:rsidRDefault="005771D8" w:rsidP="00EB782F">
      <w:pPr>
        <w:pStyle w:val="Header"/>
        <w:ind w:left="709"/>
        <w:rPr>
          <w:rFonts w:cs="Arial"/>
          <w:bCs/>
          <w:iCs/>
          <w:sz w:val="22"/>
          <w:lang w:val="fi-FI"/>
        </w:rPr>
      </w:pPr>
      <w:r w:rsidRPr="005771D8">
        <w:rPr>
          <w:rFonts w:cs="Arial"/>
          <w:bCs/>
          <w:iCs/>
          <w:sz w:val="22"/>
          <w:lang w:val="fi-FI"/>
        </w:rPr>
        <w:t>Käytettäessä Sto Non-Slip karhennusta, soveltuen parhaiten asunto-parvekkeilla,  pintakerrokseen StoPox WL 100:aa sekoitetaan Sto Non-Slip luistonestojauhe. Tällöin StoPox WL 100 epoksipinnoitetta ohennetaan vedellä ainoastaan 10%.</w:t>
      </w:r>
    </w:p>
    <w:p w:rsidR="005771D8" w:rsidRDefault="005771D8" w:rsidP="00EB782F">
      <w:pPr>
        <w:ind w:left="709"/>
        <w:rPr>
          <w:rFonts w:cs="Arial"/>
          <w:sz w:val="22"/>
          <w:lang w:val="fi-FI"/>
        </w:rPr>
      </w:pPr>
      <w:r w:rsidRPr="005771D8">
        <w:rPr>
          <w:rFonts w:cs="Arial"/>
          <w:sz w:val="22"/>
          <w:lang w:val="fi-FI"/>
        </w:rPr>
        <w:t>Sto Non-Slip luistonestojauhetta käytetään 3 – 5 % pinnoitteen määrästä. Sto Non-Slip luistonestojauhe toimitetaan 0,</w:t>
      </w:r>
      <w:r>
        <w:rPr>
          <w:rFonts w:cs="Arial"/>
          <w:sz w:val="22"/>
          <w:lang w:val="fi-FI"/>
        </w:rPr>
        <w:t>4</w:t>
      </w:r>
      <w:r w:rsidRPr="005771D8">
        <w:rPr>
          <w:rFonts w:cs="Arial"/>
          <w:sz w:val="22"/>
          <w:lang w:val="fi-FI"/>
        </w:rPr>
        <w:t xml:space="preserve"> kg:n purkeissa, joka on sopiva annostus sellaisenaan 12 – 18 kg:n pakkauksille pinnoitetta. Jauhe annostellaan sekoituksen aikana pinnoitteeseen ja seos sekoitetaan tasalaatuiseksi. Levitys telalla, ohuena kerroksena.</w:t>
      </w:r>
    </w:p>
    <w:p w:rsidR="00B5741F" w:rsidRPr="005771D8" w:rsidRDefault="00B5741F" w:rsidP="00EB782F">
      <w:pPr>
        <w:ind w:left="709"/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>Terassi- tai tuuletusparvekkeella suositellaan karhennusta kvartsihiekalla primerin päällä. Tuolloin tuoreen primerin StoPox WG 100 päälle kylvetään kvartsihiekkaa #01-0,6 mm runsaasti n. 1 – 2 kg/m</w:t>
      </w:r>
      <w:r w:rsidRPr="00B5741F">
        <w:rPr>
          <w:rFonts w:cs="Arial"/>
          <w:sz w:val="22"/>
          <w:vertAlign w:val="superscript"/>
          <w:lang w:val="fi-FI"/>
        </w:rPr>
        <w:t>2</w:t>
      </w:r>
      <w:r>
        <w:rPr>
          <w:rFonts w:cs="Arial"/>
          <w:sz w:val="22"/>
          <w:lang w:val="fi-FI"/>
        </w:rPr>
        <w:t>. Ennen pinnoitusta poistetaan irtonainen kvartsihiekka imuroimalla.</w:t>
      </w:r>
    </w:p>
    <w:p w:rsidR="005771D8" w:rsidRPr="005771D8" w:rsidRDefault="005771D8" w:rsidP="005771D8">
      <w:pPr>
        <w:pStyle w:val="Header"/>
        <w:ind w:left="1276"/>
        <w:rPr>
          <w:rFonts w:cs="Arial"/>
          <w:bCs/>
          <w:iCs/>
          <w:sz w:val="22"/>
          <w:lang w:val="fi-FI"/>
        </w:rPr>
      </w:pPr>
    </w:p>
    <w:p w:rsidR="005771D8" w:rsidRPr="00616F47" w:rsidRDefault="005771D8" w:rsidP="00EB782F">
      <w:pPr>
        <w:pStyle w:val="Header"/>
        <w:ind w:left="709"/>
        <w:rPr>
          <w:rFonts w:cs="Arial"/>
          <w:bCs/>
          <w:iCs/>
          <w:sz w:val="22"/>
          <w:lang w:val="fi-FI"/>
        </w:rPr>
      </w:pPr>
      <w:r w:rsidRPr="005771D8">
        <w:rPr>
          <w:rFonts w:cs="Arial"/>
          <w:bCs/>
          <w:iCs/>
          <w:sz w:val="22"/>
          <w:lang w:val="fi-FI"/>
        </w:rPr>
        <w:t xml:space="preserve">Normaalisti käytetty hiutalesirotus StoChips värihiutaleilla voidaan tehdä luistoeston lisäksi somistamaan pintaa tai ilman luistonestoa. </w:t>
      </w:r>
      <w:r w:rsidRPr="00616F47">
        <w:rPr>
          <w:rFonts w:cs="Arial"/>
          <w:bCs/>
          <w:iCs/>
          <w:sz w:val="22"/>
          <w:lang w:val="fi-FI"/>
        </w:rPr>
        <w:t>Hiutalesirotus tehdään välittömästi levityksen jälkeen tuoreelle pinnoitepinnalle.</w:t>
      </w: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616F47" w:rsidRPr="00616F47" w:rsidRDefault="00616F47" w:rsidP="00616F47">
      <w:pPr>
        <w:rPr>
          <w:rFonts w:cs="Arial"/>
          <w:b/>
          <w:b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</w:p>
    <w:p w:rsidR="00435FE7" w:rsidRDefault="00435FE7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D2554B" w:rsidRPr="006A3038" w:rsidRDefault="00D2554B" w:rsidP="006A3038">
      <w:pPr>
        <w:rPr>
          <w:sz w:val="24"/>
          <w:szCs w:val="24"/>
          <w:lang w:val="fi-FI"/>
        </w:rPr>
      </w:pPr>
      <w:r>
        <w:rPr>
          <w:sz w:val="24"/>
          <w:szCs w:val="24"/>
          <w:lang w:val="fi-FI"/>
        </w:rPr>
        <w:t xml:space="preserve">Katso yksityiskohtaisemmat työohjeet kotisivultamme </w:t>
      </w:r>
      <w:hyperlink r:id="rId10" w:history="1">
        <w:r w:rsidRPr="00571EEB">
          <w:rPr>
            <w:rStyle w:val="Hyperlink"/>
            <w:sz w:val="24"/>
            <w:szCs w:val="24"/>
            <w:lang w:val="fi-FI"/>
          </w:rPr>
          <w:t>www.sto.fi</w:t>
        </w:r>
      </w:hyperlink>
      <w:r>
        <w:rPr>
          <w:sz w:val="24"/>
          <w:szCs w:val="24"/>
          <w:lang w:val="fi-FI"/>
        </w:rPr>
        <w:t xml:space="preserve">  Parvekelattioiden pinnoitusohjeet.</w:t>
      </w:r>
      <w:bookmarkStart w:id="0" w:name="_GoBack"/>
      <w:bookmarkEnd w:id="0"/>
    </w:p>
    <w:sectPr w:rsidR="00D2554B" w:rsidRPr="006A3038" w:rsidSect="00831A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1F5B" w:rsidRDefault="005A1F5B" w:rsidP="006A3038">
      <w:pPr>
        <w:spacing w:after="0" w:line="240" w:lineRule="auto"/>
      </w:pPr>
      <w:r>
        <w:separator/>
      </w:r>
    </w:p>
  </w:endnote>
  <w:endnote w:type="continuationSeparator" w:id="0">
    <w:p w:rsidR="005A1F5B" w:rsidRDefault="005A1F5B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741F" w:rsidRDefault="00B574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Parvekelattiapinnoitus </w:t>
    </w:r>
    <w:r w:rsidR="005771D8">
      <w:rPr>
        <w:lang w:val="fi-FI"/>
      </w:rPr>
      <w:t>StoPox WL 100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B5741F">
      <w:rPr>
        <w:lang w:val="fi-FI"/>
      </w:rPr>
      <w:t>02.09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435FE7">
      <w:rPr>
        <w:b/>
        <w:bCs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435FE7">
      <w:rPr>
        <w:b/>
        <w:bCs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741F" w:rsidRDefault="00B574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1F5B" w:rsidRDefault="005A1F5B" w:rsidP="006A3038">
      <w:pPr>
        <w:spacing w:after="0" w:line="240" w:lineRule="auto"/>
      </w:pPr>
      <w:r>
        <w:separator/>
      </w:r>
    </w:p>
  </w:footnote>
  <w:footnote w:type="continuationSeparator" w:id="0">
    <w:p w:rsidR="005A1F5B" w:rsidRDefault="005A1F5B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741F" w:rsidRDefault="00B574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741F" w:rsidRDefault="00B5741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741F" w:rsidRDefault="00B574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1839B4"/>
    <w:rsid w:val="002A6027"/>
    <w:rsid w:val="002E3319"/>
    <w:rsid w:val="0030366B"/>
    <w:rsid w:val="003059CB"/>
    <w:rsid w:val="003D401A"/>
    <w:rsid w:val="00435FE7"/>
    <w:rsid w:val="0046421A"/>
    <w:rsid w:val="00533AA9"/>
    <w:rsid w:val="005771D8"/>
    <w:rsid w:val="00596C9C"/>
    <w:rsid w:val="005A1F5B"/>
    <w:rsid w:val="005F0540"/>
    <w:rsid w:val="00616F47"/>
    <w:rsid w:val="00675D12"/>
    <w:rsid w:val="00683A1E"/>
    <w:rsid w:val="006A3038"/>
    <w:rsid w:val="006A3DF1"/>
    <w:rsid w:val="006F1080"/>
    <w:rsid w:val="00716F7B"/>
    <w:rsid w:val="00737655"/>
    <w:rsid w:val="00740494"/>
    <w:rsid w:val="007D4F01"/>
    <w:rsid w:val="00831AE7"/>
    <w:rsid w:val="008B0763"/>
    <w:rsid w:val="00B5741F"/>
    <w:rsid w:val="00CA77A3"/>
    <w:rsid w:val="00D2554B"/>
    <w:rsid w:val="00D90EB9"/>
    <w:rsid w:val="00DB3A27"/>
    <w:rsid w:val="00E7583B"/>
    <w:rsid w:val="00EB782F"/>
    <w:rsid w:val="00EF3860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FEFDCC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sto.f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1FEA6-CEA5-468A-9DA4-F2CF9EA7B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8</cp:revision>
  <dcterms:created xsi:type="dcterms:W3CDTF">2020-06-17T11:50:00Z</dcterms:created>
  <dcterms:modified xsi:type="dcterms:W3CDTF">2020-09-02T07:07:00Z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